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8000E" w14:textId="1BB91CE6" w:rsidR="00CB6463" w:rsidRPr="00CB6463" w:rsidRDefault="00834447">
      <w:pPr>
        <w:rPr>
          <w:b/>
        </w:rPr>
      </w:pPr>
      <w:r>
        <w:rPr>
          <w:b/>
        </w:rPr>
        <w:t>New l</w:t>
      </w:r>
      <w:r w:rsidR="00CB6463" w:rsidRPr="00CB6463">
        <w:rPr>
          <w:b/>
        </w:rPr>
        <w:t xml:space="preserve">iver distribution </w:t>
      </w:r>
      <w:r>
        <w:rPr>
          <w:b/>
        </w:rPr>
        <w:t xml:space="preserve">policy </w:t>
      </w:r>
      <w:r w:rsidR="00CB6463" w:rsidRPr="00CB6463">
        <w:rPr>
          <w:b/>
        </w:rPr>
        <w:t>– a visual guide</w:t>
      </w:r>
    </w:p>
    <w:p w14:paraId="0506BFC1" w14:textId="2FE47870" w:rsidR="00CB6463" w:rsidRDefault="00CB6463" w:rsidP="00CB6463">
      <w:r>
        <w:t>The OPTN</w:t>
      </w:r>
      <w:r w:rsidR="00246E0E">
        <w:t xml:space="preserve">/UNOS Board of Directors </w:t>
      </w:r>
      <w:r w:rsidR="00C12998">
        <w:t>recently a</w:t>
      </w:r>
      <w:r w:rsidR="00246E0E">
        <w:t xml:space="preserve">pproved </w:t>
      </w:r>
      <w:r w:rsidR="00C72297">
        <w:t xml:space="preserve">a </w:t>
      </w:r>
      <w:r w:rsidR="008B386E" w:rsidRPr="008B386E">
        <w:rPr>
          <w:rStyle w:val="Hyperlink"/>
          <w:color w:val="auto"/>
          <w:u w:val="none"/>
        </w:rPr>
        <w:t>new liver distribution system</w:t>
      </w:r>
      <w:r w:rsidR="00C12998" w:rsidRPr="008B386E">
        <w:t xml:space="preserve"> </w:t>
      </w:r>
      <w:r>
        <w:t xml:space="preserve">to replace </w:t>
      </w:r>
      <w:r w:rsidRPr="00CB6463">
        <w:t xml:space="preserve">fixed, irregular local and regional geographic boundaries historically used </w:t>
      </w:r>
      <w:r w:rsidR="00C12998">
        <w:t xml:space="preserve">for liver distribution </w:t>
      </w:r>
      <w:r>
        <w:t xml:space="preserve">with more consistent </w:t>
      </w:r>
      <w:r w:rsidR="007750A7">
        <w:t>measures</w:t>
      </w:r>
      <w:r>
        <w:t xml:space="preserve">.  </w:t>
      </w:r>
      <w:r w:rsidR="008E3C98">
        <w:t xml:space="preserve">The Scientific Registry of Transplant Recipients (SRTR) performed </w:t>
      </w:r>
      <w:hyperlink r:id="rId5" w:history="1">
        <w:r w:rsidR="008E3C98" w:rsidRPr="008E3C98">
          <w:rPr>
            <w:rStyle w:val="Hyperlink"/>
          </w:rPr>
          <w:t>simulation modeling</w:t>
        </w:r>
      </w:hyperlink>
      <w:r w:rsidR="008E3C98">
        <w:t xml:space="preserve"> to assess potential outcomes of this and other policy alternatives.  In addition, more than 1,200 </w:t>
      </w:r>
      <w:hyperlink r:id="rId6" w:history="1">
        <w:r w:rsidR="008E3C98" w:rsidRPr="00834447">
          <w:rPr>
            <w:rStyle w:val="Hyperlink"/>
          </w:rPr>
          <w:t>public comments</w:t>
        </w:r>
      </w:hyperlink>
      <w:r w:rsidR="008E3C98">
        <w:t xml:space="preserve"> guided consideration of the new system.</w:t>
      </w:r>
    </w:p>
    <w:p w14:paraId="1398D5A1" w14:textId="1EC3718A" w:rsidR="006A45C5" w:rsidRDefault="00C72297" w:rsidP="008B5979">
      <w:r>
        <w:t xml:space="preserve">The </w:t>
      </w:r>
      <w:r w:rsidR="00834447">
        <w:t xml:space="preserve">new policy </w:t>
      </w:r>
      <w:r>
        <w:t>replace</w:t>
      </w:r>
      <w:r w:rsidR="00834447">
        <w:t>s</w:t>
      </w:r>
      <w:r>
        <w:t xml:space="preserve"> </w:t>
      </w:r>
      <w:r w:rsidR="00DA7CB6">
        <w:t>a</w:t>
      </w:r>
      <w:r w:rsidR="00CB6463">
        <w:t xml:space="preserve">ll donation service area (DSA) and regional boundaries currently used in liver and intestine distribution </w:t>
      </w:r>
      <w:r>
        <w:t xml:space="preserve">with </w:t>
      </w:r>
      <w:r w:rsidR="00CB6463">
        <w:t xml:space="preserve">distribution zones (circles) of varying distances from the donor hospital.  Similar to </w:t>
      </w:r>
      <w:r w:rsidR="008B386E">
        <w:t>previous</w:t>
      </w:r>
      <w:r w:rsidR="008B386E">
        <w:t xml:space="preserve"> </w:t>
      </w:r>
      <w:r w:rsidR="00CB6463">
        <w:t xml:space="preserve">liver policy, candidates of the highest medical urgency </w:t>
      </w:r>
      <w:r w:rsidR="008B386E">
        <w:t>(</w:t>
      </w:r>
      <w:r w:rsidR="008B386E" w:rsidRPr="00244F04">
        <w:rPr>
          <w:color w:val="C00000"/>
        </w:rPr>
        <w:t>Status 1A and 1B</w:t>
      </w:r>
      <w:r w:rsidR="008B386E">
        <w:t>) will</w:t>
      </w:r>
      <w:r w:rsidR="00CB6463">
        <w:t xml:space="preserve"> have broader access to organ offers before less urgent ca</w:t>
      </w:r>
      <w:bookmarkStart w:id="0" w:name="_GoBack"/>
      <w:bookmarkEnd w:id="0"/>
      <w:r w:rsidR="00CB6463">
        <w:t>ndidates who are closer to the donor hospital.</w:t>
      </w:r>
    </w:p>
    <w:p w14:paraId="401F3151" w14:textId="18075FC4" w:rsidR="00AC29A4" w:rsidRDefault="00C72297" w:rsidP="00834447">
      <w:r>
        <w:t xml:space="preserve">The </w:t>
      </w:r>
      <w:r w:rsidR="00246E0E">
        <w:t xml:space="preserve">following </w:t>
      </w:r>
      <w:r>
        <w:t xml:space="preserve">information </w:t>
      </w:r>
      <w:r w:rsidR="00246E0E">
        <w:t>i</w:t>
      </w:r>
      <w:r>
        <w:t>llustrates how the system</w:t>
      </w:r>
      <w:r w:rsidR="00834447">
        <w:t xml:space="preserve"> will </w:t>
      </w:r>
      <w:r>
        <w:t>prioritize liver transplant candidates.</w:t>
      </w:r>
    </w:p>
    <w:p w14:paraId="1AE3852B" w14:textId="36D08995" w:rsidR="00246E0E" w:rsidRDefault="00834447" w:rsidP="00834447">
      <w:r>
        <w:t xml:space="preserve">As in current liver distribution, </w:t>
      </w:r>
      <w:r w:rsidR="00246E0E">
        <w:t>l</w:t>
      </w:r>
      <w:r>
        <w:t xml:space="preserve">ivers </w:t>
      </w:r>
      <w:r w:rsidR="00246E0E">
        <w:t xml:space="preserve">from adult deceased donors first </w:t>
      </w:r>
      <w:proofErr w:type="gramStart"/>
      <w:r w:rsidR="00246E0E">
        <w:t>will be offered</w:t>
      </w:r>
      <w:proofErr w:type="gramEnd"/>
      <w:r w:rsidR="00246E0E">
        <w:t xml:space="preserve"> </w:t>
      </w:r>
      <w:r>
        <w:t>to a wide area for candidates in the most urgent (Status 1A and 1B) designations</w:t>
      </w:r>
      <w:r w:rsidR="00246E0E">
        <w:t>, because they are at great risk of imminent death without a transplant</w:t>
      </w:r>
      <w:r w:rsidR="00616581">
        <w:t>.</w:t>
      </w:r>
      <w:r>
        <w:t xml:space="preserve">  At any given moment, there are generally fewer than 50 Status 1A and 1B candidates listed nationwide.  </w:t>
      </w:r>
    </w:p>
    <w:p w14:paraId="671CA5D3" w14:textId="48B87247" w:rsidR="00246E0E" w:rsidRPr="008B5979" w:rsidRDefault="00834447" w:rsidP="00246E0E">
      <w:r>
        <w:t xml:space="preserve">Under the new policy, </w:t>
      </w:r>
      <w:r w:rsidR="00246E0E">
        <w:t xml:space="preserve">livers from all deceased donors would be </w:t>
      </w:r>
      <w:r w:rsidR="007750A7">
        <w:t>offered</w:t>
      </w:r>
      <w:r w:rsidR="00246E0E">
        <w:t xml:space="preserve"> for compatible Status 1A and 1B c</w:t>
      </w:r>
      <w:r w:rsidR="00246E0E" w:rsidRPr="00246E0E">
        <w:t>andidates listed at transplant hospitals within a radius of 500 nautical miles of the donor hospital</w:t>
      </w:r>
      <w:r w:rsidR="00246E0E">
        <w:t xml:space="preserve">.  </w:t>
      </w:r>
      <w:r w:rsidR="00246E0E" w:rsidRPr="008B5979">
        <w:t>In the example below, transplant hospitals A, B and C all have Status 1A or 1B candidates compatible with the donor and are located within a 500 nautical-mile radius of the donor hospital.</w:t>
      </w:r>
    </w:p>
    <w:p w14:paraId="5112758E" w14:textId="77777777" w:rsidR="00246E0E" w:rsidRPr="008B5979" w:rsidRDefault="00246E0E" w:rsidP="00925451">
      <w:pPr>
        <w:ind w:left="720"/>
      </w:pPr>
      <w:r w:rsidRPr="008B5979">
        <w:rPr>
          <w:noProof/>
        </w:rPr>
        <w:drawing>
          <wp:inline distT="0" distB="0" distL="0" distR="0" wp14:anchorId="4C34AF16" wp14:editId="1C2DCB6A">
            <wp:extent cx="4105275" cy="307112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0630" cy="3082609"/>
                    </a:xfrm>
                    <a:prstGeom prst="rect">
                      <a:avLst/>
                    </a:prstGeom>
                    <a:noFill/>
                    <a:ln>
                      <a:noFill/>
                    </a:ln>
                  </pic:spPr>
                </pic:pic>
              </a:graphicData>
            </a:graphic>
          </wp:inline>
        </w:drawing>
      </w:r>
    </w:p>
    <w:p w14:paraId="46271D41" w14:textId="1B31B96B" w:rsidR="00834447" w:rsidRDefault="00834447" w:rsidP="00834447"/>
    <w:p w14:paraId="6D8AC6CF" w14:textId="4BEF0077" w:rsidR="00246E0E" w:rsidRDefault="00246E0E" w:rsidP="00834447">
      <w:r>
        <w:t xml:space="preserve">After </w:t>
      </w:r>
      <w:r w:rsidR="008B386E">
        <w:t>offers to Status 1A and 1B candidates</w:t>
      </w:r>
      <w:r>
        <w:t xml:space="preserve">, livers from deceased adult donors </w:t>
      </w:r>
      <w:proofErr w:type="gramStart"/>
      <w:r>
        <w:t>will be distributed</w:t>
      </w:r>
      <w:proofErr w:type="gramEnd"/>
      <w:r>
        <w:t xml:space="preserve"> in one of two ways depending on the donor’s age and mechanism of death.  </w:t>
      </w:r>
      <w:r w:rsidRPr="00246E0E">
        <w:t xml:space="preserve">The examples below illustrate how the system </w:t>
      </w:r>
      <w:r w:rsidR="00616581">
        <w:t>will</w:t>
      </w:r>
      <w:r w:rsidR="00616581" w:rsidRPr="00246E0E">
        <w:t xml:space="preserve"> </w:t>
      </w:r>
      <w:r w:rsidRPr="00246E0E">
        <w:t>work based on different characteristics of the deceased donor.</w:t>
      </w:r>
    </w:p>
    <w:p w14:paraId="56B64672" w14:textId="77777777" w:rsidR="00357AF8" w:rsidRDefault="00357AF8" w:rsidP="00834447"/>
    <w:p w14:paraId="779A64C0" w14:textId="77777777" w:rsidR="008B5979" w:rsidRPr="008B5979" w:rsidRDefault="008B5979" w:rsidP="00925451">
      <w:pPr>
        <w:rPr>
          <w:b/>
        </w:rPr>
      </w:pPr>
      <w:r w:rsidRPr="008B5979">
        <w:rPr>
          <w:b/>
        </w:rPr>
        <w:t>Organ distribution for adult, non-DCD donors younger than age 70</w:t>
      </w:r>
    </w:p>
    <w:p w14:paraId="79181561" w14:textId="628E22D6" w:rsidR="008B5979" w:rsidRPr="008B5979" w:rsidRDefault="008B5979" w:rsidP="00925451">
      <w:r w:rsidRPr="008B5979">
        <w:t xml:space="preserve">The majority of deceased liver donors are adults who are under age 70 and who are not donating upon cardiorespiratory death (also known as DCD donation).  For livers from these donors, </w:t>
      </w:r>
      <w:r w:rsidR="00925451">
        <w:t xml:space="preserve">after initial offers to Status 1A and 1B candidates as above, </w:t>
      </w:r>
      <w:r w:rsidRPr="008B5979">
        <w:t xml:space="preserve">the </w:t>
      </w:r>
      <w:r w:rsidR="007750A7">
        <w:t xml:space="preserve">next steps in </w:t>
      </w:r>
      <w:r w:rsidRPr="008B5979">
        <w:t xml:space="preserve">distribution </w:t>
      </w:r>
      <w:r w:rsidR="007750A7">
        <w:t>are</w:t>
      </w:r>
      <w:r w:rsidR="00925451">
        <w:t xml:space="preserve"> </w:t>
      </w:r>
      <w:r w:rsidRPr="008B5979">
        <w:t>as follows:</w:t>
      </w:r>
    </w:p>
    <w:p w14:paraId="0F3495F1" w14:textId="7D9B07D7" w:rsidR="008B5979" w:rsidRDefault="008B5979" w:rsidP="00357AF8">
      <w:pPr>
        <w:numPr>
          <w:ilvl w:val="0"/>
          <w:numId w:val="1"/>
        </w:numPr>
        <w:ind w:left="720"/>
      </w:pPr>
      <w:r w:rsidRPr="008B5979">
        <w:t xml:space="preserve">candidates with a MELD or PELD score of </w:t>
      </w:r>
      <w:r>
        <w:t>37</w:t>
      </w:r>
      <w:r w:rsidRPr="008B5979">
        <w:t xml:space="preserve"> or higher listed at transplant hospitals within a radius of </w:t>
      </w:r>
      <w:r w:rsidR="00403782">
        <w:t>150</w:t>
      </w:r>
      <w:r w:rsidRPr="008B5979">
        <w:t xml:space="preserve"> nautical miles from the donor hospital</w:t>
      </w:r>
    </w:p>
    <w:p w14:paraId="75D786C9" w14:textId="0ABFB65E" w:rsidR="00403782" w:rsidRPr="00403782" w:rsidRDefault="00403782" w:rsidP="00357AF8">
      <w:pPr>
        <w:numPr>
          <w:ilvl w:val="0"/>
          <w:numId w:val="1"/>
        </w:numPr>
        <w:ind w:left="720"/>
      </w:pPr>
      <w:r w:rsidRPr="00403782">
        <w:t xml:space="preserve">candidates with a MELD or PELD score of 37 or higher listed at transplant hospitals within a radius of </w:t>
      </w:r>
      <w:r>
        <w:t>2</w:t>
      </w:r>
      <w:r w:rsidRPr="00403782">
        <w:t>50 nautical miles from the donor hospital</w:t>
      </w:r>
    </w:p>
    <w:p w14:paraId="62819F71" w14:textId="16F1E854" w:rsidR="00403782" w:rsidRPr="00403782" w:rsidRDefault="00403782" w:rsidP="00357AF8">
      <w:pPr>
        <w:numPr>
          <w:ilvl w:val="0"/>
          <w:numId w:val="1"/>
        </w:numPr>
        <w:ind w:left="720"/>
      </w:pPr>
      <w:r w:rsidRPr="00403782">
        <w:t xml:space="preserve">candidates with a MELD or PELD score of 37 or higher listed at transplant hospitals within a radius of </w:t>
      </w:r>
      <w:r>
        <w:t>500</w:t>
      </w:r>
      <w:r w:rsidRPr="00403782">
        <w:t xml:space="preserve"> nautical miles from the donor hospital</w:t>
      </w:r>
    </w:p>
    <w:p w14:paraId="3F88C9D4" w14:textId="676AE930" w:rsidR="00403782" w:rsidRPr="008B5979" w:rsidRDefault="00403782" w:rsidP="00357AF8">
      <w:pPr>
        <w:numPr>
          <w:ilvl w:val="0"/>
          <w:numId w:val="1"/>
        </w:numPr>
        <w:ind w:left="720"/>
      </w:pPr>
      <w:r>
        <w:t>a continuing sequence of progressive offers</w:t>
      </w:r>
      <w:r w:rsidR="007750A7">
        <w:t>, from more local to more distant</w:t>
      </w:r>
      <w:r>
        <w:t xml:space="preserve"> (at transplant hospitals within 150, 250 and 500 nautical miles of the donor hospital)</w:t>
      </w:r>
      <w:r w:rsidR="007750A7">
        <w:t>,</w:t>
      </w:r>
      <w:r>
        <w:t xml:space="preserve"> for candidates with ranges of MELD or PELD scores from 33 to 36, from 29 to 32, and from 15 to 28</w:t>
      </w:r>
    </w:p>
    <w:p w14:paraId="400115DC" w14:textId="77777777" w:rsidR="00403782" w:rsidRPr="00403782" w:rsidRDefault="00403782" w:rsidP="00925451">
      <w:r w:rsidRPr="00403782">
        <w:t>In the example below:</w:t>
      </w:r>
    </w:p>
    <w:p w14:paraId="04B07ADB" w14:textId="70EC3DAF" w:rsidR="00403782" w:rsidRPr="00403782" w:rsidRDefault="00403782" w:rsidP="00925451">
      <w:pPr>
        <w:numPr>
          <w:ilvl w:val="0"/>
          <w:numId w:val="4"/>
        </w:numPr>
      </w:pPr>
      <w:r w:rsidRPr="00403782">
        <w:t xml:space="preserve">Transplant hospital A is within the 150 nautical-mile radius.  Candidates at that hospital with a MELD or PELD of at least </w:t>
      </w:r>
      <w:r w:rsidR="009B7795">
        <w:t xml:space="preserve">37 </w:t>
      </w:r>
      <w:r w:rsidRPr="00403782">
        <w:t xml:space="preserve">would be first to receive compatible liver offers.  </w:t>
      </w:r>
    </w:p>
    <w:p w14:paraId="0165E68C" w14:textId="561B57B3" w:rsidR="00403782" w:rsidRPr="00403782" w:rsidRDefault="00403782" w:rsidP="00925451">
      <w:pPr>
        <w:numPr>
          <w:ilvl w:val="0"/>
          <w:numId w:val="4"/>
        </w:numPr>
      </w:pPr>
      <w:r w:rsidRPr="00403782">
        <w:t xml:space="preserve">The next candidates to </w:t>
      </w:r>
      <w:r w:rsidR="007750A7">
        <w:t xml:space="preserve">receive </w:t>
      </w:r>
      <w:r w:rsidRPr="00403782">
        <w:t xml:space="preserve">offers </w:t>
      </w:r>
      <w:r w:rsidR="007750A7">
        <w:t>are</w:t>
      </w:r>
      <w:r w:rsidRPr="00403782">
        <w:t xml:space="preserve"> those </w:t>
      </w:r>
      <w:r w:rsidR="009B7795">
        <w:t xml:space="preserve">who have </w:t>
      </w:r>
      <w:r w:rsidRPr="00403782">
        <w:t xml:space="preserve">a MELD or PELD of at least </w:t>
      </w:r>
      <w:r w:rsidR="009B7795">
        <w:t>37</w:t>
      </w:r>
      <w:r w:rsidRPr="00403782">
        <w:t xml:space="preserve"> and </w:t>
      </w:r>
      <w:r w:rsidR="009B7795">
        <w:t xml:space="preserve">who </w:t>
      </w:r>
      <w:r w:rsidRPr="00403782">
        <w:t>are listed at hospitals C and D, both of which are within the 250 nautical-mile radius.</w:t>
      </w:r>
    </w:p>
    <w:p w14:paraId="3D4A4B2C" w14:textId="6E79083B" w:rsidR="00403782" w:rsidRDefault="00403782" w:rsidP="00925451">
      <w:pPr>
        <w:numPr>
          <w:ilvl w:val="0"/>
          <w:numId w:val="4"/>
        </w:numPr>
      </w:pPr>
      <w:r w:rsidRPr="00403782">
        <w:t xml:space="preserve">Candidates with a MELD or PELD of at least </w:t>
      </w:r>
      <w:r w:rsidR="009B7795">
        <w:t>37</w:t>
      </w:r>
      <w:r w:rsidR="009B7795" w:rsidRPr="00403782">
        <w:t xml:space="preserve"> </w:t>
      </w:r>
      <w:r w:rsidRPr="00403782">
        <w:t>and listed at hospitals B, E and F would then receive offers, as they are beyond the 250 nautical-mile radius but are within 500 nautical miles.</w:t>
      </w:r>
    </w:p>
    <w:p w14:paraId="3FEA8E75" w14:textId="39AD5754" w:rsidR="009B7795" w:rsidRPr="00403782" w:rsidRDefault="009B7795" w:rsidP="00925451">
      <w:pPr>
        <w:numPr>
          <w:ilvl w:val="0"/>
          <w:numId w:val="4"/>
        </w:numPr>
      </w:pPr>
      <w:r>
        <w:t xml:space="preserve">The sequence would continue to repeat for </w:t>
      </w:r>
      <w:r w:rsidR="000A6CD1">
        <w:t xml:space="preserve">compatible </w:t>
      </w:r>
      <w:r>
        <w:t>candidates with progressively lower ranges of medical urgency.  For example, the next group of candidates to receive offers would be those listed at Hospital A with a</w:t>
      </w:r>
      <w:r w:rsidR="00925451">
        <w:t xml:space="preserve"> MELD or PELD between 33 and 36, followed by those at hospitals C and D with the same range of scores, then those at hospitals B, E and F with the same range of scores.</w:t>
      </w:r>
    </w:p>
    <w:p w14:paraId="6632A74F" w14:textId="77777777" w:rsidR="00403782" w:rsidRPr="00403782" w:rsidRDefault="00403782" w:rsidP="00925451">
      <w:pPr>
        <w:ind w:left="360"/>
      </w:pPr>
      <w:r w:rsidRPr="00403782">
        <w:rPr>
          <w:noProof/>
        </w:rPr>
        <w:drawing>
          <wp:inline distT="0" distB="0" distL="0" distR="0" wp14:anchorId="40495C37" wp14:editId="59636DA4">
            <wp:extent cx="4061635" cy="3038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9883" cy="3044646"/>
                    </a:xfrm>
                    <a:prstGeom prst="rect">
                      <a:avLst/>
                    </a:prstGeom>
                    <a:noFill/>
                    <a:ln>
                      <a:noFill/>
                    </a:ln>
                  </pic:spPr>
                </pic:pic>
              </a:graphicData>
            </a:graphic>
          </wp:inline>
        </w:drawing>
      </w:r>
    </w:p>
    <w:p w14:paraId="227BDA76" w14:textId="343D9F7E" w:rsidR="008B5979" w:rsidRDefault="008B5979" w:rsidP="00AB16C1"/>
    <w:p w14:paraId="3B1C7985" w14:textId="77777777" w:rsidR="007750A7" w:rsidRDefault="007750A7" w:rsidP="00AB16C1"/>
    <w:p w14:paraId="76A4AEA9" w14:textId="77777777" w:rsidR="00C12998" w:rsidRPr="006A45C5" w:rsidRDefault="00C12998" w:rsidP="00357AF8">
      <w:pPr>
        <w:rPr>
          <w:b/>
        </w:rPr>
      </w:pPr>
      <w:r w:rsidRPr="006A45C5">
        <w:rPr>
          <w:b/>
        </w:rPr>
        <w:t>Organ distribution for adult donors age 70 or older and/or DCD donors</w:t>
      </w:r>
    </w:p>
    <w:p w14:paraId="6A287EBB" w14:textId="069BBBF1" w:rsidR="00925451" w:rsidRDefault="00C12998" w:rsidP="00357AF8">
      <w:r>
        <w:t xml:space="preserve">For deceased donors older than age 70, and/or who die </w:t>
      </w:r>
      <w:proofErr w:type="gramStart"/>
      <w:r>
        <w:t>as a result</w:t>
      </w:r>
      <w:proofErr w:type="gramEnd"/>
      <w:r>
        <w:t xml:space="preserve"> of cardiorespiratory failure, the distribution sequence </w:t>
      </w:r>
      <w:r w:rsidR="00616581">
        <w:t xml:space="preserve">will </w:t>
      </w:r>
      <w:r>
        <w:t xml:space="preserve">provide earlier access for candidates more local to the donor hospital.  Most livers from these donors are </w:t>
      </w:r>
      <w:r w:rsidRPr="00BA717C">
        <w:t xml:space="preserve">accepted for local candidates, since they are most viable when the preservation time between recovery and transplantation is </w:t>
      </w:r>
      <w:r w:rsidR="007750A7">
        <w:t>brief</w:t>
      </w:r>
      <w:r w:rsidRPr="00BA717C">
        <w:t xml:space="preserve">. </w:t>
      </w:r>
    </w:p>
    <w:p w14:paraId="181BDF66" w14:textId="77777777" w:rsidR="00E244A6" w:rsidRDefault="00E244A6" w:rsidP="00E244A6">
      <w:r w:rsidRPr="00E244A6">
        <w:t>For livers from these donors, after initial offers to Status 1A and 1B candidates as above, the initial distribution sequence is as follows:</w:t>
      </w:r>
    </w:p>
    <w:p w14:paraId="45B50227" w14:textId="21F99FE3" w:rsidR="00C12998" w:rsidRDefault="00C12998" w:rsidP="00E244A6">
      <w:pPr>
        <w:pStyle w:val="ListParagraph"/>
        <w:numPr>
          <w:ilvl w:val="0"/>
          <w:numId w:val="6"/>
        </w:numPr>
      </w:pPr>
      <w:r>
        <w:t>compatible candidates with a MELD or PELD of 15 or higher</w:t>
      </w:r>
      <w:r w:rsidR="00E244A6">
        <w:t>,</w:t>
      </w:r>
      <w:r>
        <w:t xml:space="preserve"> listed at transplant hospitals within a 150 nautical-mile radius of the donor hospital</w:t>
      </w:r>
    </w:p>
    <w:p w14:paraId="4C207765" w14:textId="5555B3E4" w:rsidR="00C12998" w:rsidRPr="005D335B" w:rsidRDefault="00C12998" w:rsidP="00925451">
      <w:pPr>
        <w:pStyle w:val="ListParagraph"/>
        <w:numPr>
          <w:ilvl w:val="0"/>
          <w:numId w:val="2"/>
        </w:numPr>
        <w:ind w:left="720"/>
      </w:pPr>
      <w:r w:rsidRPr="005D335B">
        <w:t>compatible candidates with a MELD or PELD of 15 or higher</w:t>
      </w:r>
      <w:r w:rsidR="003F4D15">
        <w:t>,</w:t>
      </w:r>
      <w:r w:rsidRPr="005D335B">
        <w:t xml:space="preserve"> listed at transplant hospitals within a </w:t>
      </w:r>
      <w:r>
        <w:t>250</w:t>
      </w:r>
      <w:r w:rsidRPr="005D335B">
        <w:t xml:space="preserve"> nautical-mile radius of the donor hospital</w:t>
      </w:r>
    </w:p>
    <w:p w14:paraId="149146BE" w14:textId="53E31448" w:rsidR="00C12998" w:rsidRPr="005D335B" w:rsidRDefault="00C12998" w:rsidP="00925451">
      <w:pPr>
        <w:pStyle w:val="ListParagraph"/>
        <w:numPr>
          <w:ilvl w:val="0"/>
          <w:numId w:val="2"/>
        </w:numPr>
        <w:ind w:left="720"/>
      </w:pPr>
      <w:r w:rsidRPr="005D335B">
        <w:t>compatible candidates with a MELD or PELD of 15 or higher</w:t>
      </w:r>
      <w:r w:rsidR="003F4D15">
        <w:t>,</w:t>
      </w:r>
      <w:r w:rsidRPr="005D335B">
        <w:t xml:space="preserve"> listed at transplant hospitals within a </w:t>
      </w:r>
      <w:r>
        <w:t>500</w:t>
      </w:r>
      <w:r w:rsidRPr="005D335B">
        <w:t xml:space="preserve"> nautical-mile radius of the donor hospital</w:t>
      </w:r>
    </w:p>
    <w:p w14:paraId="5E37FDF3" w14:textId="77777777" w:rsidR="00E244A6" w:rsidRDefault="00C12998" w:rsidP="00E244A6">
      <w:r w:rsidRPr="007D6458">
        <w:t>In the example below</w:t>
      </w:r>
      <w:r w:rsidR="00E244A6">
        <w:t>:</w:t>
      </w:r>
    </w:p>
    <w:p w14:paraId="3B11EBA1" w14:textId="77777777" w:rsidR="00E244A6" w:rsidRDefault="00E244A6" w:rsidP="00E244A6">
      <w:pPr>
        <w:pStyle w:val="ListParagraph"/>
        <w:numPr>
          <w:ilvl w:val="0"/>
          <w:numId w:val="7"/>
        </w:numPr>
      </w:pPr>
      <w:r>
        <w:t>O</w:t>
      </w:r>
      <w:r w:rsidR="00C12998">
        <w:t xml:space="preserve">ffers would go to any compatible candidates with a MELD or PELD of at least 15 listed at Hospital A, which is within 150 </w:t>
      </w:r>
      <w:r w:rsidR="00C12998" w:rsidRPr="007D6458">
        <w:t>nautical</w:t>
      </w:r>
      <w:r w:rsidR="00C12998">
        <w:t xml:space="preserve"> </w:t>
      </w:r>
      <w:r w:rsidR="00C12998" w:rsidRPr="007D6458">
        <w:t>miles of the donor hospital.</w:t>
      </w:r>
    </w:p>
    <w:p w14:paraId="29719ACF" w14:textId="77777777" w:rsidR="00E244A6" w:rsidRDefault="00E244A6" w:rsidP="00E244A6">
      <w:pPr>
        <w:pStyle w:val="ListParagraph"/>
        <w:numPr>
          <w:ilvl w:val="0"/>
          <w:numId w:val="7"/>
        </w:numPr>
      </w:pPr>
      <w:r>
        <w:t xml:space="preserve">Next, </w:t>
      </w:r>
      <w:r w:rsidR="00C12998">
        <w:t xml:space="preserve">offers would go to any compatible candidates </w:t>
      </w:r>
      <w:r w:rsidR="00C12998" w:rsidRPr="005D335B">
        <w:t>with a MELD or PELD of at least 15 listed at Hospital</w:t>
      </w:r>
      <w:r w:rsidR="00C12998">
        <w:t>s C or D (within a 250 nautical-mile radius)</w:t>
      </w:r>
      <w:r>
        <w:t>.</w:t>
      </w:r>
    </w:p>
    <w:p w14:paraId="3A268676" w14:textId="505C9792" w:rsidR="00C12998" w:rsidRDefault="00E244A6" w:rsidP="00E244A6">
      <w:pPr>
        <w:pStyle w:val="ListParagraph"/>
        <w:numPr>
          <w:ilvl w:val="0"/>
          <w:numId w:val="7"/>
        </w:numPr>
      </w:pPr>
      <w:r>
        <w:t xml:space="preserve">Offers would then go to candidates </w:t>
      </w:r>
      <w:r w:rsidR="00C12998">
        <w:t>at Hospitals B, E or F (500 nautical-mile radius).</w:t>
      </w:r>
    </w:p>
    <w:p w14:paraId="73012A6A" w14:textId="77777777" w:rsidR="00C12998" w:rsidRPr="005D335B" w:rsidRDefault="00C12998" w:rsidP="00925451">
      <w:pPr>
        <w:ind w:left="360"/>
      </w:pPr>
    </w:p>
    <w:p w14:paraId="0EC524A3" w14:textId="77777777" w:rsidR="00C12998" w:rsidRDefault="00C12998" w:rsidP="00925451">
      <w:pPr>
        <w:ind w:left="360"/>
      </w:pPr>
      <w:r>
        <w:rPr>
          <w:noProof/>
        </w:rPr>
        <w:drawing>
          <wp:inline distT="0" distB="0" distL="0" distR="0" wp14:anchorId="28349001" wp14:editId="038549D6">
            <wp:extent cx="4060190" cy="30359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0190" cy="3035935"/>
                    </a:xfrm>
                    <a:prstGeom prst="rect">
                      <a:avLst/>
                    </a:prstGeom>
                    <a:noFill/>
                  </pic:spPr>
                </pic:pic>
              </a:graphicData>
            </a:graphic>
          </wp:inline>
        </w:drawing>
      </w:r>
    </w:p>
    <w:p w14:paraId="3C1B4C12" w14:textId="77777777" w:rsidR="00C12998" w:rsidRDefault="00C12998" w:rsidP="00C12998">
      <w:pPr>
        <w:ind w:left="720"/>
        <w:rPr>
          <w:b/>
        </w:rPr>
      </w:pPr>
    </w:p>
    <w:p w14:paraId="7E42139F" w14:textId="77777777" w:rsidR="00C12998" w:rsidRDefault="00C12998" w:rsidP="00C12998">
      <w:pPr>
        <w:ind w:left="720"/>
        <w:rPr>
          <w:b/>
        </w:rPr>
      </w:pPr>
    </w:p>
    <w:p w14:paraId="47F7A6BC" w14:textId="77777777" w:rsidR="00C12998" w:rsidRPr="006A45C5" w:rsidRDefault="00C12998" w:rsidP="00E244A6">
      <w:pPr>
        <w:rPr>
          <w:b/>
        </w:rPr>
      </w:pPr>
      <w:r w:rsidRPr="006A45C5">
        <w:rPr>
          <w:b/>
        </w:rPr>
        <w:t>Organ distribution for pediatric (younger than age 18) donors</w:t>
      </w:r>
    </w:p>
    <w:p w14:paraId="198F95D5" w14:textId="28628C4E" w:rsidR="00E244A6" w:rsidRDefault="00C12998" w:rsidP="00E244A6">
      <w:r>
        <w:t>For pediatric liver donors</w:t>
      </w:r>
      <w:r w:rsidR="00E244A6">
        <w:t xml:space="preserve"> (younger than age 18)</w:t>
      </w:r>
      <w:r>
        <w:t xml:space="preserve">, the proposed policy would increase priority for pediatric candidates before any adult candidates at the same level of medical urgency.  Livers from pediatric donors would be offered initially to compatible pediatric </w:t>
      </w:r>
      <w:r w:rsidRPr="005257FA">
        <w:t>candidates listed at any transplant hospital within a 500 nautical-mile radius of the donor hospital.</w:t>
      </w:r>
      <w:r>
        <w:t xml:space="preserve">  </w:t>
      </w:r>
    </w:p>
    <w:p w14:paraId="02C44A66" w14:textId="1D246DA8" w:rsidR="00C12998" w:rsidRDefault="00C12998" w:rsidP="00E244A6">
      <w:r w:rsidRPr="00212FB7">
        <w:t>In the example below, pediatric transplant candidates listed at transplant hospitals A, B or C would all be within the initial level of distribution for compatible donor offers.</w:t>
      </w:r>
    </w:p>
    <w:p w14:paraId="3F66E533" w14:textId="77777777" w:rsidR="00C12998" w:rsidRDefault="00C12998" w:rsidP="00C12998">
      <w:pPr>
        <w:ind w:left="720"/>
      </w:pPr>
    </w:p>
    <w:p w14:paraId="6973AD91" w14:textId="77777777" w:rsidR="00C12998" w:rsidRPr="005257FA" w:rsidRDefault="00C12998" w:rsidP="00C12998">
      <w:pPr>
        <w:ind w:left="720"/>
      </w:pPr>
    </w:p>
    <w:p w14:paraId="15D694EE" w14:textId="77777777" w:rsidR="00C12998" w:rsidRDefault="00C12998" w:rsidP="00C12998">
      <w:pPr>
        <w:ind w:left="720"/>
      </w:pPr>
      <w:r>
        <w:rPr>
          <w:noProof/>
        </w:rPr>
        <w:drawing>
          <wp:inline distT="0" distB="0" distL="0" distR="0" wp14:anchorId="2B6E578F" wp14:editId="4321C0FF">
            <wp:extent cx="4102735" cy="30727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2735" cy="3072765"/>
                    </a:xfrm>
                    <a:prstGeom prst="rect">
                      <a:avLst/>
                    </a:prstGeom>
                    <a:noFill/>
                  </pic:spPr>
                </pic:pic>
              </a:graphicData>
            </a:graphic>
          </wp:inline>
        </w:drawing>
      </w:r>
    </w:p>
    <w:p w14:paraId="23C7AF8C" w14:textId="2AF1C1A7" w:rsidR="00C12998" w:rsidRDefault="00C12998" w:rsidP="00E244A6"/>
    <w:p w14:paraId="179EF724" w14:textId="6A7894CB" w:rsidR="008B386E" w:rsidRPr="00244F04" w:rsidRDefault="00854199" w:rsidP="00E244A6">
      <w:pPr>
        <w:rPr>
          <w:b/>
        </w:rPr>
      </w:pPr>
      <w:r w:rsidRPr="00244F04">
        <w:rPr>
          <w:b/>
        </w:rPr>
        <w:t>Exceptions for geographically isolated areas</w:t>
      </w:r>
    </w:p>
    <w:p w14:paraId="2EF11E91" w14:textId="02751E7E" w:rsidR="00854199" w:rsidRDefault="00854199" w:rsidP="00E244A6">
      <w:r>
        <w:t xml:space="preserve">Liver transplant programs located in Hawaii and Puerto Rico are geographically isolated from the continental United States.  To address potential challenges to candidate access in those areas, blood type O livers recovered in </w:t>
      </w:r>
      <w:r w:rsidR="00244F04">
        <w:t xml:space="preserve">those </w:t>
      </w:r>
      <w:proofErr w:type="gramStart"/>
      <w:r w:rsidR="00244F04">
        <w:t>two</w:t>
      </w:r>
      <w:r>
        <w:t xml:space="preserve"> donation</w:t>
      </w:r>
      <w:proofErr w:type="gramEnd"/>
      <w:r>
        <w:t xml:space="preserve"> service areas will be offered for all local candidates</w:t>
      </w:r>
      <w:r w:rsidR="00244F04">
        <w:t>,</w:t>
      </w:r>
      <w:r>
        <w:t xml:space="preserve"> regardless of blood type</w:t>
      </w:r>
      <w:r w:rsidR="00244F04">
        <w:t>,</w:t>
      </w:r>
      <w:r>
        <w:t xml:space="preserve"> before being offered to any candidates outside those </w:t>
      </w:r>
      <w:r w:rsidR="00244F04">
        <w:t>areas</w:t>
      </w:r>
      <w:r>
        <w:t>.</w:t>
      </w:r>
    </w:p>
    <w:p w14:paraId="21474DA9" w14:textId="2852CA05" w:rsidR="00854199" w:rsidRDefault="00854199" w:rsidP="00E244A6">
      <w:proofErr w:type="gramStart"/>
      <w:r>
        <w:t>Also</w:t>
      </w:r>
      <w:proofErr w:type="gramEnd"/>
      <w:r>
        <w:t xml:space="preserve">, no transplant program exists in the state of Alaska, and all U.S. transplant programs are beyond a 500 nautical mile distance from donor hospitals in Alaska.  For the purposes of this policy, any livers recovered from an Alaskan hospital </w:t>
      </w:r>
      <w:proofErr w:type="gramStart"/>
      <w:r>
        <w:t>will be considered</w:t>
      </w:r>
      <w:proofErr w:type="gramEnd"/>
      <w:r>
        <w:t xml:space="preserve"> as originating from the Seattle Tacoma Airport in Washington State.</w:t>
      </w:r>
    </w:p>
    <w:p w14:paraId="536F693D" w14:textId="77777777" w:rsidR="008B386E" w:rsidRDefault="008B386E" w:rsidP="00E244A6"/>
    <w:p w14:paraId="4E6F406D" w14:textId="67AD42BB" w:rsidR="006A45C5" w:rsidRPr="00D22030" w:rsidRDefault="006A45C5" w:rsidP="00AB16C1">
      <w:pPr>
        <w:rPr>
          <w:b/>
        </w:rPr>
      </w:pPr>
      <w:r w:rsidRPr="00D22030">
        <w:rPr>
          <w:b/>
        </w:rPr>
        <w:t>For additional information</w:t>
      </w:r>
    </w:p>
    <w:p w14:paraId="1D077A87" w14:textId="22B25280" w:rsidR="006A45C5" w:rsidRPr="00AB16C1" w:rsidRDefault="00D22030" w:rsidP="00AB16C1">
      <w:r>
        <w:t>To learn more about the Liver and Intestinal Organ Transplantation</w:t>
      </w:r>
      <w:r w:rsidR="00A06B68">
        <w:t xml:space="preserve"> Committ</w:t>
      </w:r>
      <w:r w:rsidR="00C45C7A">
        <w:t>e</w:t>
      </w:r>
      <w:r w:rsidR="00A06B68">
        <w:t>e</w:t>
      </w:r>
      <w:r>
        <w:t xml:space="preserve">, </w:t>
      </w:r>
      <w:hyperlink r:id="rId11" w:history="1">
        <w:r w:rsidRPr="00D22030">
          <w:rPr>
            <w:rStyle w:val="Hyperlink"/>
          </w:rPr>
          <w:t>visit the committee’s page</w:t>
        </w:r>
      </w:hyperlink>
      <w:r w:rsidRPr="00D22030">
        <w:t xml:space="preserve"> on the OPTN website.  If you</w:t>
      </w:r>
      <w:r>
        <w:t xml:space="preserve"> have additional questions, </w:t>
      </w:r>
      <w:r w:rsidRPr="00D22030">
        <w:t xml:space="preserve">send an e-mail to </w:t>
      </w:r>
      <w:hyperlink r:id="rId12" w:history="1">
        <w:r w:rsidRPr="00D92E9F">
          <w:rPr>
            <w:rStyle w:val="Hyperlink"/>
          </w:rPr>
          <w:t>liver@unos.org</w:t>
        </w:r>
      </w:hyperlink>
      <w:r w:rsidRPr="00D22030">
        <w:t>.</w:t>
      </w:r>
    </w:p>
    <w:p w14:paraId="42F45A38" w14:textId="77777777" w:rsidR="005257FA" w:rsidRDefault="005257FA" w:rsidP="005257FA"/>
    <w:p w14:paraId="3335F3A1" w14:textId="77777777" w:rsidR="005A34DF" w:rsidRDefault="005A34DF" w:rsidP="005A34DF"/>
    <w:sectPr w:rsidR="005A3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E46"/>
    <w:multiLevelType w:val="hybridMultilevel"/>
    <w:tmpl w:val="19B22A2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8871A51"/>
    <w:multiLevelType w:val="hybridMultilevel"/>
    <w:tmpl w:val="95B85F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9B55E9E"/>
    <w:multiLevelType w:val="hybridMultilevel"/>
    <w:tmpl w:val="177C6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7A2604"/>
    <w:multiLevelType w:val="hybridMultilevel"/>
    <w:tmpl w:val="53B2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8B70DD"/>
    <w:multiLevelType w:val="hybridMultilevel"/>
    <w:tmpl w:val="177C6E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67007B"/>
    <w:multiLevelType w:val="hybridMultilevel"/>
    <w:tmpl w:val="3EBE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61044E"/>
    <w:multiLevelType w:val="hybridMultilevel"/>
    <w:tmpl w:val="2632AA1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79"/>
    <w:rsid w:val="00015F07"/>
    <w:rsid w:val="000A6CD1"/>
    <w:rsid w:val="000E7652"/>
    <w:rsid w:val="00101222"/>
    <w:rsid w:val="00102161"/>
    <w:rsid w:val="001501AB"/>
    <w:rsid w:val="00163B79"/>
    <w:rsid w:val="00212FB7"/>
    <w:rsid w:val="002134E2"/>
    <w:rsid w:val="00244F04"/>
    <w:rsid w:val="00246E0E"/>
    <w:rsid w:val="002C0278"/>
    <w:rsid w:val="002D19AB"/>
    <w:rsid w:val="0033100C"/>
    <w:rsid w:val="00357AF8"/>
    <w:rsid w:val="003C3CB2"/>
    <w:rsid w:val="003F4D15"/>
    <w:rsid w:val="00403782"/>
    <w:rsid w:val="005257FA"/>
    <w:rsid w:val="00527E33"/>
    <w:rsid w:val="005A34DF"/>
    <w:rsid w:val="005C6390"/>
    <w:rsid w:val="005D335B"/>
    <w:rsid w:val="005E270C"/>
    <w:rsid w:val="005F754B"/>
    <w:rsid w:val="00604DC4"/>
    <w:rsid w:val="00616581"/>
    <w:rsid w:val="006A45C5"/>
    <w:rsid w:val="00733AC7"/>
    <w:rsid w:val="00773160"/>
    <w:rsid w:val="007750A7"/>
    <w:rsid w:val="007D6458"/>
    <w:rsid w:val="00834447"/>
    <w:rsid w:val="00854199"/>
    <w:rsid w:val="008B386E"/>
    <w:rsid w:val="008B5979"/>
    <w:rsid w:val="008E3C98"/>
    <w:rsid w:val="00925451"/>
    <w:rsid w:val="009B7795"/>
    <w:rsid w:val="00A06B68"/>
    <w:rsid w:val="00A6496B"/>
    <w:rsid w:val="00AA65B0"/>
    <w:rsid w:val="00AA6A0C"/>
    <w:rsid w:val="00AB16C1"/>
    <w:rsid w:val="00AC29A4"/>
    <w:rsid w:val="00AF4DA5"/>
    <w:rsid w:val="00BA717C"/>
    <w:rsid w:val="00BB0245"/>
    <w:rsid w:val="00C12998"/>
    <w:rsid w:val="00C45C7A"/>
    <w:rsid w:val="00C713AD"/>
    <w:rsid w:val="00C72297"/>
    <w:rsid w:val="00CB6463"/>
    <w:rsid w:val="00CC6BAF"/>
    <w:rsid w:val="00D22030"/>
    <w:rsid w:val="00D47D43"/>
    <w:rsid w:val="00D57810"/>
    <w:rsid w:val="00DA7CB6"/>
    <w:rsid w:val="00DC576C"/>
    <w:rsid w:val="00E244A6"/>
    <w:rsid w:val="00E62EAA"/>
    <w:rsid w:val="00F44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C85E8"/>
  <w15:chartTrackingRefBased/>
  <w15:docId w15:val="{0DD3ACBE-55E3-4598-815B-BDE2CA73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4DF"/>
    <w:pPr>
      <w:ind w:left="720"/>
      <w:contextualSpacing/>
    </w:pPr>
  </w:style>
  <w:style w:type="character" w:styleId="Hyperlink">
    <w:name w:val="Hyperlink"/>
    <w:basedOn w:val="DefaultParagraphFont"/>
    <w:uiPriority w:val="99"/>
    <w:unhideWhenUsed/>
    <w:rsid w:val="00D47D43"/>
    <w:rPr>
      <w:color w:val="0563C1" w:themeColor="hyperlink"/>
      <w:u w:val="single"/>
    </w:rPr>
  </w:style>
  <w:style w:type="character" w:styleId="CommentReference">
    <w:name w:val="annotation reference"/>
    <w:basedOn w:val="DefaultParagraphFont"/>
    <w:uiPriority w:val="99"/>
    <w:semiHidden/>
    <w:unhideWhenUsed/>
    <w:rsid w:val="0033100C"/>
    <w:rPr>
      <w:sz w:val="16"/>
      <w:szCs w:val="16"/>
    </w:rPr>
  </w:style>
  <w:style w:type="paragraph" w:styleId="CommentText">
    <w:name w:val="annotation text"/>
    <w:basedOn w:val="Normal"/>
    <w:link w:val="CommentTextChar"/>
    <w:uiPriority w:val="99"/>
    <w:semiHidden/>
    <w:unhideWhenUsed/>
    <w:rsid w:val="0033100C"/>
    <w:pPr>
      <w:spacing w:line="240" w:lineRule="auto"/>
    </w:pPr>
    <w:rPr>
      <w:sz w:val="20"/>
      <w:szCs w:val="20"/>
    </w:rPr>
  </w:style>
  <w:style w:type="character" w:customStyle="1" w:styleId="CommentTextChar">
    <w:name w:val="Comment Text Char"/>
    <w:basedOn w:val="DefaultParagraphFont"/>
    <w:link w:val="CommentText"/>
    <w:uiPriority w:val="99"/>
    <w:semiHidden/>
    <w:rsid w:val="0033100C"/>
    <w:rPr>
      <w:sz w:val="20"/>
      <w:szCs w:val="20"/>
    </w:rPr>
  </w:style>
  <w:style w:type="paragraph" w:styleId="CommentSubject">
    <w:name w:val="annotation subject"/>
    <w:basedOn w:val="CommentText"/>
    <w:next w:val="CommentText"/>
    <w:link w:val="CommentSubjectChar"/>
    <w:uiPriority w:val="99"/>
    <w:semiHidden/>
    <w:unhideWhenUsed/>
    <w:rsid w:val="0033100C"/>
    <w:rPr>
      <w:b/>
      <w:bCs/>
    </w:rPr>
  </w:style>
  <w:style w:type="character" w:customStyle="1" w:styleId="CommentSubjectChar">
    <w:name w:val="Comment Subject Char"/>
    <w:basedOn w:val="CommentTextChar"/>
    <w:link w:val="CommentSubject"/>
    <w:uiPriority w:val="99"/>
    <w:semiHidden/>
    <w:rsid w:val="0033100C"/>
    <w:rPr>
      <w:b/>
      <w:bCs/>
      <w:sz w:val="20"/>
      <w:szCs w:val="20"/>
    </w:rPr>
  </w:style>
  <w:style w:type="paragraph" w:styleId="BalloonText">
    <w:name w:val="Balloon Text"/>
    <w:basedOn w:val="Normal"/>
    <w:link w:val="BalloonTextChar"/>
    <w:uiPriority w:val="99"/>
    <w:semiHidden/>
    <w:unhideWhenUsed/>
    <w:rsid w:val="00331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00C"/>
    <w:rPr>
      <w:rFonts w:ascii="Segoe UI" w:hAnsi="Segoe UI" w:cs="Segoe UI"/>
      <w:sz w:val="18"/>
      <w:szCs w:val="18"/>
    </w:rPr>
  </w:style>
  <w:style w:type="character" w:styleId="FollowedHyperlink">
    <w:name w:val="FollowedHyperlink"/>
    <w:basedOn w:val="DefaultParagraphFont"/>
    <w:uiPriority w:val="99"/>
    <w:semiHidden/>
    <w:unhideWhenUsed/>
    <w:rsid w:val="008E3C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iver@uno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tn.transplant.hrsa.gov/governance/public-comment/liver-and-intestine-distribution-using-distance-from-donor-hospital/" TargetMode="External"/><Relationship Id="rId11" Type="http://schemas.openxmlformats.org/officeDocument/2006/relationships/hyperlink" Target="https://optn.transplant.hrsa.gov/members/committees/liver-and-intestine-committee/" TargetMode="External"/><Relationship Id="rId5" Type="http://schemas.openxmlformats.org/officeDocument/2006/relationships/hyperlink" Target="https://optn.transplant.hrsa.gov/media/2640/li2018_01_analysis-report_20180924.pdf"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Newman</dc:creator>
  <cp:keywords/>
  <dc:description/>
  <cp:lastModifiedBy>Joel Newman</cp:lastModifiedBy>
  <cp:revision>6</cp:revision>
  <cp:lastPrinted>2018-11-14T17:58:00Z</cp:lastPrinted>
  <dcterms:created xsi:type="dcterms:W3CDTF">2018-12-06T18:27:00Z</dcterms:created>
  <dcterms:modified xsi:type="dcterms:W3CDTF">2019-02-06T21:17:00Z</dcterms:modified>
</cp:coreProperties>
</file>